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color w:val="222222"/>
          <w:sz w:val="78"/>
          <w:szCs w:val="78"/>
        </w:rPr>
        <w:t>Dr. Krishan K. Vashistha</w:t>
      </w: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5" w:lineRule="auto"/>
        <w:ind w:left="3820" w:right="2140" w:hanging="1705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5" w:lineRule="auto"/>
        <w:ind w:left="3820" w:right="2140" w:hanging="170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                            E-mail: drkrishan.vashistha@gmail.com </w:t>
      </w:r>
      <w:r>
        <w:rPr>
          <w:rFonts w:ascii="Arial" w:hAnsi="Arial" w:cs="Arial"/>
          <w:color w:val="222222"/>
          <w:sz w:val="21"/>
          <w:szCs w:val="21"/>
        </w:rPr>
        <w:t xml:space="preserve">                       Dob: 16/12/1987</w:t>
      </w:r>
    </w:p>
    <w:p w:rsidR="00182776" w:rsidRPr="000300B5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5" w:lineRule="auto"/>
        <w:ind w:left="3820" w:right="2140" w:hanging="1705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0"/>
          <w:szCs w:val="20"/>
        </w:rPr>
        <w:t xml:space="preserve">                               Phone: +919560478098                                                                  Address : 575, Nimri Colony, Delhi - 110052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31"/>
          <w:szCs w:val="31"/>
        </w:rPr>
        <w:t>PROFESSIONAL SUMMARY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6827520" cy="95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1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To contribute creatively out of the ordinary and make a mark in the domain of healthcare &amp; to serve for mankind. My work, in the long run should provide me space to explore my capabilities, should satisfy the community and enhance the prospects of the organization I work with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44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31"/>
          <w:szCs w:val="31"/>
        </w:rPr>
        <w:t>CORE SKILLS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6827520" cy="952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Leadership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Strategic Planning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Resource Optimization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Risk Management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Competitive Analysis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Relationship &amp; team building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Public Relations Expert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38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31"/>
          <w:szCs w:val="31"/>
        </w:rPr>
        <w:t>WORK EXPERIENCE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6827520" cy="9525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5"/>
          <w:szCs w:val="25"/>
        </w:rPr>
        <w:t xml:space="preserve">Clinical Manager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22222"/>
          <w:sz w:val="25"/>
          <w:szCs w:val="25"/>
        </w:rPr>
        <w:t>Sept 2013 — at present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Dentinova Multispecialty Clinic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6" w:lineRule="auto"/>
        <w:ind w:right="3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Dental counseling &amp; treatments, oral hygiene care, Strategic decision &amp; implementation ,healthcare training &amp; development for performance improvement, preliminary research &amp; clinical and technical data analysis, managing complex projects, regulatory compliance, leveraging team resources to support clients, financial planning, reviewing healthcare models &amp; identifying opportunities, handling teleconference meetings and presentations, establishing credibility &amp; client relationship management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tabs>
          <w:tab w:val="left" w:pos="8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5"/>
          <w:szCs w:val="25"/>
        </w:rPr>
        <w:t>Head - Business &amp; Clinical Operations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22222"/>
          <w:sz w:val="25"/>
          <w:szCs w:val="25"/>
        </w:rPr>
        <w:t>Apr 2013 — Aug 2013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IndDEC British Centres for Clinical Excellence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1" w:lineRule="auto"/>
        <w:ind w:righ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Management of overall business development functions including strategic planning, recruitment, conducting trainings &amp; relevant research, implement HR practices &amp; budgeting and leading a team of professionals for an effective refinement of company's vision and sustainable growth in India &amp; Nepal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tabs>
          <w:tab w:val="left" w:pos="82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5"/>
          <w:szCs w:val="25"/>
        </w:rPr>
        <w:t>Dental Surgeon</w:t>
      </w:r>
      <w:r w:rsidR="00803146">
        <w:rPr>
          <w:rFonts w:ascii="Arial" w:hAnsi="Arial" w:cs="Arial"/>
          <w:color w:val="222222"/>
          <w:sz w:val="25"/>
          <w:szCs w:val="25"/>
        </w:rPr>
        <w:t xml:space="preserve"> &amp; Clinical Manager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22222"/>
          <w:sz w:val="25"/>
          <w:szCs w:val="25"/>
        </w:rPr>
        <w:t>Apr 2011 — Apr 2013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Parmarth Dental Concept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1" w:lineRule="auto"/>
        <w:ind w:right="1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Clinical Procedures, Supervision, direction and coordination of the day-to-day operations for the chain of super specialty clinics and development &amp; implementation of new strategies for profitable growth, conducting research &amp; continuing health education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82776">
          <w:pgSz w:w="11900" w:h="16856"/>
          <w:pgMar w:top="436" w:right="580" w:bottom="0" w:left="560" w:header="720" w:footer="720" w:gutter="0"/>
          <w:cols w:space="720" w:equalWidth="0">
            <w:col w:w="10760"/>
          </w:cols>
          <w:noEndnote/>
        </w:sectPr>
      </w:pPr>
    </w:p>
    <w:p w:rsidR="00182776" w:rsidRDefault="00182776" w:rsidP="00182776">
      <w:pPr>
        <w:widowControl w:val="0"/>
        <w:tabs>
          <w:tab w:val="left" w:pos="10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82776">
          <w:type w:val="continuous"/>
          <w:pgSz w:w="11900" w:h="16856"/>
          <w:pgMar w:top="436" w:right="640" w:bottom="0" w:left="620" w:header="720" w:footer="720" w:gutter="0"/>
          <w:cols w:space="720" w:equalWidth="0">
            <w:col w:w="10640"/>
          </w:cols>
          <w:noEndnote/>
        </w:sectPr>
      </w:pPr>
    </w:p>
    <w:p w:rsidR="00182776" w:rsidRDefault="00182776" w:rsidP="00182776">
      <w:pPr>
        <w:widowControl w:val="0"/>
        <w:tabs>
          <w:tab w:val="left" w:pos="81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Arial" w:hAnsi="Arial" w:cs="Arial"/>
          <w:color w:val="222222"/>
          <w:sz w:val="25"/>
          <w:szCs w:val="25"/>
        </w:rPr>
        <w:lastRenderedPageBreak/>
        <w:t>Junior Resident Doctor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22222"/>
          <w:sz w:val="25"/>
          <w:szCs w:val="25"/>
        </w:rPr>
        <w:t>Oct 2010 — Mar 2011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Hindu Rao Hospital &amp; Research Center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2" w:lineRule="auto"/>
        <w:ind w:right="3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Providing competent &amp; compassionate patient care, conducting research,assigning responsibilities to the staff, ensuring the routine operational activities &amp; teaching and mentoring of junior staff &amp; interns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tabs>
          <w:tab w:val="left" w:pos="81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5"/>
          <w:szCs w:val="25"/>
        </w:rPr>
        <w:t>Rotary Internship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22222"/>
          <w:sz w:val="25"/>
          <w:szCs w:val="25"/>
        </w:rPr>
        <w:t>Aug 2009 — July 2010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i/>
          <w:iCs/>
          <w:color w:val="222222"/>
          <w:sz w:val="20"/>
          <w:szCs w:val="20"/>
        </w:rPr>
        <w:t>I.T.S Centre for Dental Studies &amp; Research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2" w:lineRule="auto"/>
        <w:ind w:right="9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Providing effective patient care including emergency care, rotation among all departments to gain inner perspective and organizing continuing development training programs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180"/>
        <w:gridCol w:w="6580"/>
      </w:tblGrid>
      <w:tr w:rsidR="00182776" w:rsidTr="00762E30">
        <w:trPr>
          <w:trHeight w:val="358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31"/>
                <w:szCs w:val="31"/>
              </w:rPr>
              <w:t>EDUCATION</w:t>
            </w:r>
          </w:p>
        </w:tc>
      </w:tr>
      <w:tr w:rsidR="00182776" w:rsidTr="00762E30">
        <w:trPr>
          <w:trHeight w:val="112"/>
        </w:trPr>
        <w:tc>
          <w:tcPr>
            <w:tcW w:w="418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6580" w:type="dxa"/>
            <w:tcBorders>
              <w:top w:val="nil"/>
              <w:left w:val="nil"/>
              <w:bottom w:val="single" w:sz="8" w:space="0" w:color="CCCCCC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</w:tr>
      <w:tr w:rsidR="00182776" w:rsidTr="00762E30">
        <w:trPr>
          <w:trHeight w:val="53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5"/>
                <w:szCs w:val="25"/>
              </w:rPr>
              <w:t>MBA (Hospital Administration)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8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5"/>
                <w:szCs w:val="25"/>
              </w:rPr>
              <w:t>— 2013</w:t>
            </w:r>
          </w:p>
        </w:tc>
      </w:tr>
      <w:tr w:rsidR="00182776" w:rsidTr="00762E30">
        <w:trPr>
          <w:trHeight w:val="357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Sharda University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776" w:rsidTr="00762E30">
        <w:trPr>
          <w:trHeight w:val="642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5"/>
                <w:szCs w:val="25"/>
              </w:rPr>
              <w:t>B.D.S.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8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5"/>
                <w:szCs w:val="25"/>
              </w:rPr>
              <w:t>— 2009</w:t>
            </w:r>
          </w:p>
        </w:tc>
      </w:tr>
      <w:tr w:rsidR="00182776" w:rsidTr="00762E30">
        <w:trPr>
          <w:trHeight w:val="357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</w:rPr>
              <w:t>I.T.S Centre for Dental Studies &amp; Research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776" w:rsidRDefault="00182776" w:rsidP="00762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2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31"/>
          <w:szCs w:val="31"/>
        </w:rPr>
        <w:t>PROFESSIONAL CERTIFICATIONS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6827520" cy="9525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 w:rsidRPr="00EA59AF">
        <w:rPr>
          <w:rFonts w:ascii="Arial" w:hAnsi="Arial" w:cs="Arial"/>
          <w:b/>
          <w:color w:val="222222"/>
          <w:sz w:val="20"/>
          <w:szCs w:val="20"/>
        </w:rPr>
        <w:t>PGQMAC</w:t>
      </w:r>
      <w:r>
        <w:rPr>
          <w:rFonts w:ascii="Arial" w:hAnsi="Arial" w:cs="Arial"/>
          <w:color w:val="222222"/>
          <w:sz w:val="20"/>
          <w:szCs w:val="20"/>
        </w:rPr>
        <w:t xml:space="preserve"> (PG Certification in </w:t>
      </w:r>
      <w:r>
        <w:rPr>
          <w:rFonts w:ascii="Arial" w:hAnsi="Arial" w:cs="Arial"/>
          <w:b/>
          <w:bCs/>
          <w:color w:val="222222"/>
          <w:sz w:val="20"/>
          <w:szCs w:val="20"/>
        </w:rPr>
        <w:t>Quality Management &amp; Accreditation</w:t>
      </w:r>
      <w:r>
        <w:rPr>
          <w:rFonts w:ascii="Arial" w:hAnsi="Arial" w:cs="Arial"/>
          <w:color w:val="222222"/>
          <w:sz w:val="20"/>
          <w:szCs w:val="20"/>
        </w:rPr>
        <w:t>) , AHA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 xml:space="preserve">Leaders of Learning Certification, HarvardX, </w:t>
      </w:r>
      <w:r>
        <w:rPr>
          <w:rFonts w:ascii="Arial" w:hAnsi="Arial" w:cs="Arial"/>
          <w:b/>
          <w:bCs/>
          <w:color w:val="222222"/>
          <w:sz w:val="20"/>
          <w:szCs w:val="20"/>
        </w:rPr>
        <w:t>Harvard University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 w:rsidRPr="00EA59AF">
        <w:rPr>
          <w:rFonts w:ascii="Arial" w:hAnsi="Arial" w:cs="Arial"/>
          <w:b/>
          <w:color w:val="222222"/>
          <w:sz w:val="20"/>
          <w:szCs w:val="20"/>
        </w:rPr>
        <w:t>CGCP</w:t>
      </w:r>
      <w:r>
        <w:rPr>
          <w:rFonts w:ascii="Arial" w:hAnsi="Arial" w:cs="Arial"/>
          <w:color w:val="222222"/>
          <w:sz w:val="20"/>
          <w:szCs w:val="20"/>
        </w:rPr>
        <w:t xml:space="preserve"> (Certification in </w:t>
      </w:r>
      <w:r>
        <w:rPr>
          <w:rFonts w:ascii="Arial" w:hAnsi="Arial" w:cs="Arial"/>
          <w:b/>
          <w:bCs/>
          <w:color w:val="222222"/>
          <w:sz w:val="20"/>
          <w:szCs w:val="20"/>
        </w:rPr>
        <w:t>ICH-GCP</w:t>
      </w:r>
      <w:r>
        <w:rPr>
          <w:rFonts w:ascii="Arial" w:hAnsi="Arial" w:cs="Arial"/>
          <w:color w:val="222222"/>
          <w:sz w:val="20"/>
          <w:szCs w:val="20"/>
        </w:rPr>
        <w:t xml:space="preserve"> : </w:t>
      </w:r>
      <w:r>
        <w:rPr>
          <w:rFonts w:ascii="Arial" w:hAnsi="Arial" w:cs="Arial"/>
          <w:b/>
          <w:bCs/>
          <w:color w:val="222222"/>
          <w:sz w:val="20"/>
          <w:szCs w:val="20"/>
        </w:rPr>
        <w:t>Clinical Practice</w:t>
      </w:r>
      <w:r>
        <w:rPr>
          <w:rFonts w:ascii="Arial" w:hAnsi="Arial" w:cs="Arial"/>
          <w:color w:val="222222"/>
          <w:sz w:val="20"/>
          <w:szCs w:val="20"/>
        </w:rPr>
        <w:t>) , BioPharma Institute , U.S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 w:rsidRPr="00EA59AF">
        <w:rPr>
          <w:rFonts w:ascii="Arial" w:hAnsi="Arial" w:cs="Arial"/>
          <w:b/>
          <w:color w:val="222222"/>
          <w:sz w:val="20"/>
          <w:szCs w:val="20"/>
        </w:rPr>
        <w:t>CPPS</w:t>
      </w:r>
      <w:r>
        <w:rPr>
          <w:rFonts w:ascii="Arial" w:hAnsi="Arial" w:cs="Arial"/>
          <w:color w:val="222222"/>
          <w:sz w:val="20"/>
          <w:szCs w:val="20"/>
        </w:rPr>
        <w:t xml:space="preserve"> (Certified </w:t>
      </w:r>
      <w:r>
        <w:rPr>
          <w:rFonts w:ascii="Arial" w:hAnsi="Arial" w:cs="Arial"/>
          <w:b/>
          <w:bCs/>
          <w:color w:val="222222"/>
          <w:sz w:val="20"/>
          <w:szCs w:val="20"/>
        </w:rPr>
        <w:t>Public Procurement</w:t>
      </w:r>
      <w:r>
        <w:rPr>
          <w:rFonts w:ascii="Arial" w:hAnsi="Arial" w:cs="Arial"/>
          <w:color w:val="222222"/>
          <w:sz w:val="20"/>
          <w:szCs w:val="20"/>
        </w:rPr>
        <w:t xml:space="preserve"> Specialist) , </w:t>
      </w:r>
      <w:r>
        <w:rPr>
          <w:rFonts w:ascii="Arial" w:hAnsi="Arial" w:cs="Arial"/>
          <w:b/>
          <w:bCs/>
          <w:color w:val="222222"/>
          <w:sz w:val="20"/>
          <w:szCs w:val="20"/>
        </w:rPr>
        <w:t>World Bank</w:t>
      </w:r>
      <w:r>
        <w:rPr>
          <w:rFonts w:ascii="Arial" w:hAnsi="Arial" w:cs="Arial"/>
          <w:color w:val="222222"/>
          <w:sz w:val="20"/>
          <w:szCs w:val="20"/>
        </w:rPr>
        <w:t xml:space="preserve"> , U.S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 w:rsidRPr="00EA59AF">
        <w:rPr>
          <w:rFonts w:ascii="Arial" w:hAnsi="Arial" w:cs="Arial"/>
          <w:b/>
          <w:color w:val="222222"/>
          <w:sz w:val="20"/>
          <w:szCs w:val="20"/>
        </w:rPr>
        <w:t>PMP</w:t>
      </w:r>
      <w:r>
        <w:rPr>
          <w:rFonts w:ascii="Arial" w:hAnsi="Arial" w:cs="Arial"/>
          <w:color w:val="222222"/>
          <w:sz w:val="20"/>
          <w:szCs w:val="20"/>
        </w:rPr>
        <w:t xml:space="preserve"> (Certified </w:t>
      </w:r>
      <w:r>
        <w:rPr>
          <w:rFonts w:ascii="Arial" w:hAnsi="Arial" w:cs="Arial"/>
          <w:b/>
          <w:bCs/>
          <w:color w:val="222222"/>
          <w:sz w:val="20"/>
          <w:szCs w:val="20"/>
        </w:rPr>
        <w:t>Project Management</w:t>
      </w:r>
      <w:r>
        <w:rPr>
          <w:rFonts w:ascii="Arial" w:hAnsi="Arial" w:cs="Arial"/>
          <w:color w:val="222222"/>
          <w:sz w:val="20"/>
          <w:szCs w:val="20"/>
        </w:rPr>
        <w:t xml:space="preserve"> Specialist) , Madras Management Association (MMA)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 w:rsidRPr="00EA59AF">
        <w:rPr>
          <w:rFonts w:ascii="Arial" w:hAnsi="Arial" w:cs="Arial"/>
          <w:b/>
          <w:color w:val="222222"/>
          <w:sz w:val="20"/>
          <w:szCs w:val="20"/>
        </w:rPr>
        <w:t>CCSGB</w:t>
      </w:r>
      <w:r>
        <w:rPr>
          <w:rFonts w:ascii="Arial" w:hAnsi="Arial" w:cs="Arial"/>
          <w:color w:val="222222"/>
          <w:sz w:val="20"/>
          <w:szCs w:val="20"/>
        </w:rPr>
        <w:t xml:space="preserve"> (Certification in </w:t>
      </w:r>
      <w:r>
        <w:rPr>
          <w:rFonts w:ascii="Arial" w:hAnsi="Arial" w:cs="Arial"/>
          <w:b/>
          <w:bCs/>
          <w:color w:val="222222"/>
          <w:sz w:val="20"/>
          <w:szCs w:val="20"/>
        </w:rPr>
        <w:t>Six Sigma Green Belt</w:t>
      </w:r>
      <w:r>
        <w:rPr>
          <w:rFonts w:ascii="Arial" w:hAnsi="Arial" w:cs="Arial"/>
          <w:color w:val="222222"/>
          <w:sz w:val="20"/>
          <w:szCs w:val="20"/>
        </w:rPr>
        <w:t>) , Indian Statistical Institute (ISI)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 w:rsidRPr="00EA59AF">
        <w:rPr>
          <w:rFonts w:ascii="Arial" w:hAnsi="Arial" w:cs="Arial"/>
          <w:b/>
          <w:color w:val="222222"/>
          <w:sz w:val="20"/>
          <w:szCs w:val="20"/>
        </w:rPr>
        <w:t>CSMH</w:t>
      </w:r>
      <w:r>
        <w:rPr>
          <w:rFonts w:ascii="Arial" w:hAnsi="Arial" w:cs="Arial"/>
          <w:color w:val="222222"/>
          <w:sz w:val="20"/>
          <w:szCs w:val="20"/>
        </w:rPr>
        <w:t xml:space="preserve"> (Certification in Social Media for Healthcare: Digital Marketing) , BPI New Jersey (U.S)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 w:rsidRPr="00EA59AF">
        <w:rPr>
          <w:rFonts w:ascii="Arial" w:hAnsi="Arial" w:cs="Arial"/>
          <w:b/>
          <w:color w:val="222222"/>
          <w:sz w:val="20"/>
          <w:szCs w:val="20"/>
        </w:rPr>
        <w:t>CMT</w:t>
      </w:r>
      <w:r>
        <w:rPr>
          <w:rFonts w:ascii="Arial" w:hAnsi="Arial" w:cs="Arial"/>
          <w:color w:val="222222"/>
          <w:sz w:val="20"/>
          <w:szCs w:val="20"/>
        </w:rPr>
        <w:t xml:space="preserve"> (Certification in Medical Tourism) , Apollo Hospitals &amp; Medvarsity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31"/>
          <w:szCs w:val="31"/>
        </w:rPr>
        <w:t>AWARDS/HONORS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6827520" cy="9525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 w:rsidRPr="000300B5">
        <w:rPr>
          <w:rFonts w:ascii="Arial" w:hAnsi="Arial" w:cs="Arial"/>
          <w:b/>
          <w:color w:val="222222"/>
          <w:sz w:val="20"/>
          <w:szCs w:val="20"/>
        </w:rPr>
        <w:t xml:space="preserve">F.R.S.P.H </w:t>
      </w:r>
      <w:r>
        <w:rPr>
          <w:rFonts w:ascii="Arial" w:hAnsi="Arial" w:cs="Arial"/>
          <w:color w:val="222222"/>
          <w:sz w:val="20"/>
          <w:szCs w:val="20"/>
        </w:rPr>
        <w:t>, Fellow of Royal Society for Public Health, London (U.K)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 w:rsidRPr="000300B5">
        <w:rPr>
          <w:rFonts w:ascii="Arial" w:hAnsi="Arial" w:cs="Arial"/>
          <w:b/>
          <w:color w:val="222222"/>
          <w:sz w:val="20"/>
          <w:szCs w:val="20"/>
        </w:rPr>
        <w:t>F.A.G.E</w:t>
      </w:r>
      <w:r>
        <w:rPr>
          <w:rFonts w:ascii="Arial" w:hAnsi="Arial" w:cs="Arial"/>
          <w:color w:val="222222"/>
          <w:sz w:val="20"/>
          <w:szCs w:val="20"/>
        </w:rPr>
        <w:t xml:space="preserve"> , Fellow of Academy of General Education, Manipal (India)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31"/>
          <w:szCs w:val="31"/>
        </w:rPr>
        <w:t>COMPUTER SKILLS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6827520" cy="9525"/>
            <wp:effectExtent l="1905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6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Proficient knowledge of MS office (Excel, word, powerpoint etc. )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-105410</wp:posOffset>
            </wp:positionV>
            <wp:extent cx="78105" cy="78105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</w:p>
    <w:p w:rsidR="00182776" w:rsidRPr="00470D3E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Arial" w:hAnsi="Arial" w:cs="Arial"/>
          <w:color w:val="222222"/>
          <w:sz w:val="31"/>
          <w:szCs w:val="31"/>
        </w:rPr>
      </w:pPr>
      <w:r>
        <w:rPr>
          <w:rFonts w:ascii="Arial" w:hAnsi="Arial" w:cs="Arial"/>
          <w:color w:val="222222"/>
          <w:sz w:val="31"/>
          <w:szCs w:val="31"/>
        </w:rPr>
        <w:t>ACTIVITIES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6827520" cy="9525"/>
            <wp:effectExtent l="1905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322" w:lineRule="auto"/>
        <w:ind w:left="620" w:right="90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0"/>
          <w:szCs w:val="20"/>
        </w:rPr>
        <w:t>Participated various International &amp; National Conferences, Seminars &amp; Workshops for Continuing Professional Development &amp; Education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82776">
          <w:pgSz w:w="11900" w:h="16856"/>
          <w:pgMar w:top="567" w:right="580" w:bottom="0" w:left="560" w:header="720" w:footer="720" w:gutter="0"/>
          <w:cols w:space="720" w:equalWidth="0">
            <w:col w:w="10760"/>
          </w:cols>
          <w:noEndnote/>
        </w:sectPr>
      </w:pPr>
      <w:r>
        <w:rPr>
          <w:noProof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-351155</wp:posOffset>
            </wp:positionV>
            <wp:extent cx="78105" cy="78105"/>
            <wp:effectExtent l="1905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372" w:lineRule="exact"/>
        <w:rPr>
          <w:rFonts w:ascii="Times New Roman" w:hAnsi="Times New Roman" w:cs="Times New Roman"/>
          <w:sz w:val="24"/>
          <w:szCs w:val="24"/>
        </w:rPr>
      </w:pPr>
    </w:p>
    <w:p w:rsidR="00182776" w:rsidRDefault="00182776" w:rsidP="00182776">
      <w:pPr>
        <w:widowControl w:val="0"/>
        <w:tabs>
          <w:tab w:val="left" w:pos="10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CCCCCC"/>
          <w:sz w:val="15"/>
          <w:szCs w:val="15"/>
        </w:rPr>
        <w:t>Dr. Krishan K. Vashistha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CCCCCC"/>
          <w:sz w:val="14"/>
          <w:szCs w:val="14"/>
        </w:rPr>
        <w:t>2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82776">
          <w:type w:val="continuous"/>
          <w:pgSz w:w="11900" w:h="16856"/>
          <w:pgMar w:top="567" w:right="640" w:bottom="0" w:left="620" w:header="720" w:footer="720" w:gutter="0"/>
          <w:cols w:space="720" w:equalWidth="0">
            <w:col w:w="10640"/>
          </w:cols>
          <w:noEndnote/>
        </w:sectPr>
      </w:pPr>
    </w:p>
    <w:p w:rsidR="00182776" w:rsidRDefault="00182776" w:rsidP="00182776">
      <w:pPr>
        <w:widowControl w:val="0"/>
        <w:overflowPunct w:val="0"/>
        <w:autoSpaceDE w:val="0"/>
        <w:autoSpaceDN w:val="0"/>
        <w:adjustRightInd w:val="0"/>
        <w:spacing w:after="0" w:line="402" w:lineRule="auto"/>
        <w:ind w:left="620"/>
        <w:rPr>
          <w:rFonts w:ascii="Times New Roman" w:hAnsi="Times New Roman" w:cs="Times New Roman"/>
          <w:sz w:val="24"/>
          <w:szCs w:val="24"/>
        </w:rPr>
      </w:pPr>
      <w:bookmarkStart w:id="2" w:name="page3"/>
      <w:bookmarkEnd w:id="2"/>
      <w:r>
        <w:rPr>
          <w:rFonts w:ascii="Arial" w:hAnsi="Arial" w:cs="Arial"/>
          <w:color w:val="222222"/>
          <w:sz w:val="20"/>
          <w:szCs w:val="20"/>
        </w:rPr>
        <w:lastRenderedPageBreak/>
        <w:t>Successfully organized/hosted various events during/after college tenure Volunteered in numerous charitable programs for social cause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-448310</wp:posOffset>
            </wp:positionV>
            <wp:extent cx="78105" cy="78105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-204470</wp:posOffset>
            </wp:positionV>
            <wp:extent cx="78105" cy="78105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" cy="7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40" w:lineRule="auto"/>
        <w:ind w:left="43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31"/>
          <w:szCs w:val="31"/>
        </w:rPr>
        <w:t>REFERENCES</w:t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3810</wp:posOffset>
            </wp:positionH>
            <wp:positionV relativeFrom="paragraph">
              <wp:posOffset>72390</wp:posOffset>
            </wp:positionV>
            <wp:extent cx="6827520" cy="9525"/>
            <wp:effectExtent l="1905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776" w:rsidRDefault="00182776" w:rsidP="0018277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182776" w:rsidRPr="007A6359" w:rsidRDefault="00182776" w:rsidP="001827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b/>
        </w:rPr>
      </w:pPr>
      <w:r w:rsidRPr="007A6359">
        <w:rPr>
          <w:b/>
        </w:rPr>
        <w:t>Prof.</w:t>
      </w:r>
      <w:r>
        <w:rPr>
          <w:b/>
        </w:rPr>
        <w:t>(</w:t>
      </w:r>
      <w:r w:rsidRPr="007A6359">
        <w:rPr>
          <w:b/>
        </w:rPr>
        <w:t>Dr.</w:t>
      </w:r>
      <w:r>
        <w:rPr>
          <w:b/>
        </w:rPr>
        <w:t xml:space="preserve">) </w:t>
      </w:r>
      <w:r w:rsidRPr="007A6359">
        <w:rPr>
          <w:b/>
        </w:rPr>
        <w:t>Piyush Goel</w:t>
      </w:r>
    </w:p>
    <w:p w:rsidR="00182776" w:rsidRDefault="00182776" w:rsidP="001827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</w:pPr>
      <w:r>
        <w:t xml:space="preserve">              Chairman &amp; Director International Operations</w:t>
      </w:r>
    </w:p>
    <w:p w:rsidR="00182776" w:rsidRDefault="00182776" w:rsidP="001827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</w:pPr>
      <w:r>
        <w:t xml:space="preserve">              IndDEC, British Centers of Excellence, London (U.K)</w:t>
      </w:r>
    </w:p>
    <w:p w:rsidR="00182776" w:rsidRDefault="00182776" w:rsidP="001827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</w:pPr>
      <w:r>
        <w:t xml:space="preserve">              </w:t>
      </w:r>
    </w:p>
    <w:p w:rsidR="00182776" w:rsidRPr="0048468F" w:rsidRDefault="00182776" w:rsidP="001827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t xml:space="preserve">Mobile - +447448193511, E-mail : </w:t>
      </w:r>
      <w:hyperlink r:id="rId7" w:history="1">
        <w:r w:rsidRPr="00107B79">
          <w:rPr>
            <w:rStyle w:val="Hyperlink"/>
            <w:rFonts w:cstheme="minorBidi"/>
          </w:rPr>
          <w:t>piyush.goel@inddec.org</w:t>
        </w:r>
      </w:hyperlink>
    </w:p>
    <w:p w:rsidR="00182776" w:rsidRDefault="00182776" w:rsidP="001827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 w:cs="Segoe UI"/>
          <w:b/>
          <w:color w:val="000000"/>
        </w:rPr>
      </w:pPr>
    </w:p>
    <w:p w:rsidR="00182776" w:rsidRPr="007F00AB" w:rsidRDefault="00182776" w:rsidP="001827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00AB">
        <w:rPr>
          <w:rFonts w:eastAsia="Times New Roman" w:cs="Segoe UI"/>
          <w:b/>
          <w:color w:val="000000"/>
        </w:rPr>
        <w:t>Dr. Hari Shyam Shankar</w:t>
      </w:r>
      <w:r w:rsidRPr="007F00AB">
        <w:rPr>
          <w:rFonts w:eastAsia="Times New Roman" w:cs="Segoe UI"/>
          <w:color w:val="000000"/>
        </w:rPr>
        <w:t xml:space="preserve">                                                                                 </w:t>
      </w:r>
    </w:p>
    <w:p w:rsidR="00182776" w:rsidRDefault="00182776" w:rsidP="001827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Faculty In-Charge E-MBA &amp; MDP</w:t>
      </w:r>
    </w:p>
    <w:p w:rsidR="00182776" w:rsidRDefault="00182776" w:rsidP="001827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SBS, Sharda University, INDIA</w:t>
      </w:r>
    </w:p>
    <w:p w:rsidR="00182776" w:rsidRDefault="00182776" w:rsidP="001827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182776" w:rsidRDefault="00182776" w:rsidP="001827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</w:pPr>
      <w:r>
        <w:rPr>
          <w:rFonts w:ascii="Times New Roman" w:hAnsi="Times New Roman" w:cs="Times New Roman"/>
          <w:color w:val="000000"/>
          <w:sz w:val="24"/>
          <w:szCs w:val="24"/>
        </w:rPr>
        <w:t>Mobile - +919971780074, E-mail :</w:t>
      </w:r>
      <w:r w:rsidRPr="00261BBE">
        <w:t xml:space="preserve"> </w:t>
      </w:r>
      <w:hyperlink r:id="rId8" w:tgtFrame="_blank" w:history="1">
        <w:r w:rsidRPr="00843096">
          <w:rPr>
            <w:rFonts w:eastAsia="Times New Roman" w:cs="Segoe UI"/>
            <w:color w:val="196AD4"/>
            <w:u w:val="single"/>
          </w:rPr>
          <w:t>harishankar.shyam@sharda.ac.in</w:t>
        </w:r>
      </w:hyperlink>
    </w:p>
    <w:p w:rsidR="00185C06" w:rsidRPr="00182776" w:rsidRDefault="00185C06" w:rsidP="00182776">
      <w:pPr>
        <w:widowControl w:val="0"/>
        <w:tabs>
          <w:tab w:val="left" w:pos="10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85C06" w:rsidRPr="00182776" w:rsidSect="002D2F4F">
      <w:type w:val="continuous"/>
      <w:pgSz w:w="11900" w:h="16856"/>
      <w:pgMar w:top="580" w:right="640" w:bottom="0" w:left="620" w:header="720" w:footer="720" w:gutter="0"/>
      <w:cols w:space="720" w:equalWidth="0">
        <w:col w:w="10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A53"/>
    <w:multiLevelType w:val="hybridMultilevel"/>
    <w:tmpl w:val="767AC99E"/>
    <w:lvl w:ilvl="0" w:tplc="A92218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compat>
    <w:useFELayout/>
  </w:compat>
  <w:rsids>
    <w:rsidRoot w:val="00182776"/>
    <w:rsid w:val="00182776"/>
    <w:rsid w:val="00185C06"/>
    <w:rsid w:val="002D2F4F"/>
    <w:rsid w:val="0080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77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ankar.shyam@sharda.ac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yush.goel@indd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2015-04-02T04:39:00Z</dcterms:created>
  <dcterms:modified xsi:type="dcterms:W3CDTF">2015-04-02T04:50:00Z</dcterms:modified>
</cp:coreProperties>
</file>